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3C4A" w14:textId="217E004B" w:rsidR="005A09F0" w:rsidRDefault="001622A5" w:rsidP="005859F8">
      <w:pPr>
        <w:ind w:right="4050"/>
        <w:jc w:val="center"/>
        <w:rPr>
          <w:b/>
          <w:sz w:val="32"/>
        </w:rPr>
      </w:pPr>
      <w:r>
        <w:rPr>
          <w:b/>
          <w:noProof/>
          <w:sz w:val="32"/>
        </w:rPr>
        <w:drawing>
          <wp:anchor distT="0" distB="0" distL="114300" distR="114300" simplePos="0" relativeHeight="251658752" behindDoc="0" locked="0" layoutInCell="1" allowOverlap="1" wp14:anchorId="6584329E" wp14:editId="70A15B18">
            <wp:simplePos x="0" y="0"/>
            <wp:positionH relativeFrom="column">
              <wp:posOffset>4600575</wp:posOffset>
            </wp:positionH>
            <wp:positionV relativeFrom="paragraph">
              <wp:posOffset>-28575</wp:posOffset>
            </wp:positionV>
            <wp:extent cx="2165350" cy="2078450"/>
            <wp:effectExtent l="0" t="0" r="6350" b="0"/>
            <wp:wrapNone/>
            <wp:docPr id="57378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8427" name="Picture 57378427"/>
                    <pic:cNvPicPr/>
                  </pic:nvPicPr>
                  <pic:blipFill>
                    <a:blip r:embed="rId6"/>
                    <a:stretch>
                      <a:fillRect/>
                    </a:stretch>
                  </pic:blipFill>
                  <pic:spPr>
                    <a:xfrm>
                      <a:off x="0" y="0"/>
                      <a:ext cx="2165350" cy="2078450"/>
                    </a:xfrm>
                    <a:prstGeom prst="rect">
                      <a:avLst/>
                    </a:prstGeom>
                  </pic:spPr>
                </pic:pic>
              </a:graphicData>
            </a:graphic>
            <wp14:sizeRelH relativeFrom="page">
              <wp14:pctWidth>0</wp14:pctWidth>
            </wp14:sizeRelH>
            <wp14:sizeRelV relativeFrom="page">
              <wp14:pctHeight>0</wp14:pctHeight>
            </wp14:sizeRelV>
          </wp:anchor>
        </w:drawing>
      </w:r>
      <w:r w:rsidR="00510C21">
        <w:rPr>
          <w:b/>
          <w:sz w:val="32"/>
        </w:rPr>
        <w:t>Exploring</w:t>
      </w:r>
      <w:r w:rsidR="005A09F0" w:rsidRPr="005A09F0">
        <w:rPr>
          <w:b/>
          <w:sz w:val="32"/>
        </w:rPr>
        <w:t xml:space="preserve"> History </w:t>
      </w:r>
      <w:r w:rsidR="00510C21">
        <w:rPr>
          <w:b/>
          <w:sz w:val="32"/>
        </w:rPr>
        <w:t>and Identity</w:t>
      </w:r>
      <w:r w:rsidR="005A09F0" w:rsidRPr="005A09F0">
        <w:rPr>
          <w:b/>
          <w:sz w:val="32"/>
        </w:rPr>
        <w:t xml:space="preserve">: </w:t>
      </w:r>
      <w:r>
        <w:rPr>
          <w:b/>
          <w:sz w:val="32"/>
        </w:rPr>
        <w:br/>
      </w:r>
      <w:r w:rsidR="005A09F0" w:rsidRPr="005A09F0">
        <w:rPr>
          <w:b/>
          <w:sz w:val="32"/>
        </w:rPr>
        <w:t xml:space="preserve">The Guidon of </w:t>
      </w:r>
      <w:r>
        <w:rPr>
          <w:b/>
          <w:sz w:val="32"/>
        </w:rPr>
        <w:br/>
      </w:r>
      <w:r w:rsidR="005A09F0" w:rsidRPr="005A09F0">
        <w:rPr>
          <w:b/>
          <w:sz w:val="32"/>
        </w:rPr>
        <w:t>The Queen's York Rangers</w:t>
      </w:r>
      <w:r w:rsidR="00510C21">
        <w:rPr>
          <w:b/>
          <w:sz w:val="32"/>
        </w:rPr>
        <w:t xml:space="preserve"> </w:t>
      </w:r>
      <w:r>
        <w:rPr>
          <w:b/>
          <w:sz w:val="32"/>
        </w:rPr>
        <w:br/>
      </w:r>
      <w:r w:rsidR="00510C21">
        <w:rPr>
          <w:b/>
          <w:sz w:val="32"/>
        </w:rPr>
        <w:t>(1</w:t>
      </w:r>
      <w:r w:rsidR="00510C21" w:rsidRPr="00510C21">
        <w:rPr>
          <w:b/>
          <w:sz w:val="32"/>
          <w:vertAlign w:val="superscript"/>
        </w:rPr>
        <w:t>st</w:t>
      </w:r>
      <w:r w:rsidR="00510C21">
        <w:rPr>
          <w:b/>
          <w:sz w:val="32"/>
        </w:rPr>
        <w:t xml:space="preserve"> American Regiment)</w:t>
      </w:r>
      <w:r>
        <w:rPr>
          <w:b/>
          <w:sz w:val="32"/>
        </w:rPr>
        <w:t>(RCAC)</w:t>
      </w:r>
    </w:p>
    <w:p w14:paraId="711288A1" w14:textId="4D7EAC52" w:rsidR="00BE7BAA" w:rsidRDefault="00E42103" w:rsidP="005859F8">
      <w:pPr>
        <w:ind w:right="4050"/>
        <w:jc w:val="center"/>
        <w:rPr>
          <w:b/>
          <w:sz w:val="32"/>
        </w:rPr>
      </w:pPr>
      <w:r>
        <w:rPr>
          <w:b/>
          <w:sz w:val="32"/>
        </w:rPr>
        <w:t>Grade 7 Social Studies Lesson Plan</w:t>
      </w:r>
      <w:r w:rsidR="008A1E9A">
        <w:rPr>
          <w:b/>
          <w:sz w:val="32"/>
        </w:rPr>
        <w:t xml:space="preserve"> (Ontario)</w:t>
      </w:r>
    </w:p>
    <w:p w14:paraId="25790786" w14:textId="118525CF" w:rsidR="00A44E1A" w:rsidRDefault="00CF0FEA">
      <w:pPr>
        <w:jc w:val="center"/>
      </w:pPr>
      <w:r>
        <w:rPr>
          <w:noProof/>
        </w:rPr>
        <w:drawing>
          <wp:anchor distT="0" distB="0" distL="114300" distR="114300" simplePos="0" relativeHeight="251658240" behindDoc="1" locked="0" layoutInCell="1" allowOverlap="1" wp14:anchorId="3A363564" wp14:editId="6A1546D5">
            <wp:simplePos x="0" y="0"/>
            <wp:positionH relativeFrom="column">
              <wp:posOffset>600075</wp:posOffset>
            </wp:positionH>
            <wp:positionV relativeFrom="paragraph">
              <wp:posOffset>309880</wp:posOffset>
            </wp:positionV>
            <wp:extent cx="5829300" cy="4570730"/>
            <wp:effectExtent l="0" t="0" r="0" b="1270"/>
            <wp:wrapTight wrapText="bothSides">
              <wp:wrapPolygon edited="0">
                <wp:start x="2400" y="90"/>
                <wp:lineTo x="1835" y="630"/>
                <wp:lineTo x="1835" y="900"/>
                <wp:lineTo x="2118" y="1710"/>
                <wp:lineTo x="2047" y="1981"/>
                <wp:lineTo x="2047" y="3061"/>
                <wp:lineTo x="1694" y="4591"/>
                <wp:lineTo x="1482" y="6032"/>
                <wp:lineTo x="1624" y="8912"/>
                <wp:lineTo x="1341" y="11793"/>
                <wp:lineTo x="988" y="13234"/>
                <wp:lineTo x="282" y="14674"/>
                <wp:lineTo x="212" y="16114"/>
                <wp:lineTo x="2047" y="17555"/>
                <wp:lineTo x="2118" y="21516"/>
                <wp:lineTo x="2894" y="21516"/>
                <wp:lineTo x="2894" y="18995"/>
                <wp:lineTo x="5153" y="18995"/>
                <wp:lineTo x="16941" y="17825"/>
                <wp:lineTo x="17718" y="17555"/>
                <wp:lineTo x="19624" y="16565"/>
                <wp:lineTo x="19624" y="16114"/>
                <wp:lineTo x="20824" y="14674"/>
                <wp:lineTo x="21318" y="13504"/>
                <wp:lineTo x="21318" y="12964"/>
                <wp:lineTo x="20400" y="11883"/>
                <wp:lineTo x="20118" y="11793"/>
                <wp:lineTo x="19341" y="10893"/>
                <wp:lineTo x="18706" y="10353"/>
                <wp:lineTo x="18847" y="8912"/>
                <wp:lineTo x="20541" y="7472"/>
                <wp:lineTo x="20824" y="7472"/>
                <wp:lineTo x="20824" y="6932"/>
                <wp:lineTo x="20541" y="6032"/>
                <wp:lineTo x="20118" y="5402"/>
                <wp:lineTo x="19553" y="4591"/>
                <wp:lineTo x="18847" y="3781"/>
                <wp:lineTo x="18071" y="3151"/>
                <wp:lineTo x="18212" y="2251"/>
                <wp:lineTo x="15176" y="1981"/>
                <wp:lineTo x="3388" y="1710"/>
                <wp:lineTo x="3671" y="1170"/>
                <wp:lineTo x="3459" y="720"/>
                <wp:lineTo x="2753" y="90"/>
                <wp:lineTo x="2400" y="90"/>
              </wp:wrapPolygon>
            </wp:wrapTight>
            <wp:docPr id="1481385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85838" name="Picture 1481385838"/>
                    <pic:cNvPicPr/>
                  </pic:nvPicPr>
                  <pic:blipFill rotWithShape="1">
                    <a:blip r:embed="rId7"/>
                    <a:srcRect l="8750" t="6252" r="6250"/>
                    <a:stretch>
                      <a:fillRect/>
                    </a:stretch>
                  </pic:blipFill>
                  <pic:spPr bwMode="auto">
                    <a:xfrm>
                      <a:off x="0" y="0"/>
                      <a:ext cx="5829300" cy="4570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26DB89" w14:textId="02B6B139" w:rsidR="00345B6C" w:rsidRDefault="00345B6C">
      <w:pPr>
        <w:jc w:val="center"/>
      </w:pPr>
    </w:p>
    <w:p w14:paraId="042E1EEA" w14:textId="543F0A90" w:rsidR="00345B6C" w:rsidRDefault="00345B6C">
      <w:pPr>
        <w:jc w:val="center"/>
      </w:pPr>
    </w:p>
    <w:p w14:paraId="13A4E06E" w14:textId="77777777" w:rsidR="00CF0FEA" w:rsidRDefault="00CF0FEA">
      <w:pPr>
        <w:jc w:val="center"/>
      </w:pPr>
    </w:p>
    <w:p w14:paraId="12850AD5" w14:textId="77777777" w:rsidR="00CF0FEA" w:rsidRDefault="00CF0FEA">
      <w:pPr>
        <w:jc w:val="center"/>
      </w:pPr>
    </w:p>
    <w:p w14:paraId="54712EED" w14:textId="77777777" w:rsidR="00CF0FEA" w:rsidRDefault="00CF0FEA">
      <w:pPr>
        <w:jc w:val="center"/>
      </w:pPr>
    </w:p>
    <w:p w14:paraId="5818C7B6" w14:textId="77777777" w:rsidR="00CF0FEA" w:rsidRDefault="00CF0FEA">
      <w:pPr>
        <w:jc w:val="center"/>
      </w:pPr>
    </w:p>
    <w:p w14:paraId="5E02DC0F" w14:textId="77777777" w:rsidR="00CF0FEA" w:rsidRDefault="00CF0FEA">
      <w:pPr>
        <w:jc w:val="center"/>
      </w:pPr>
    </w:p>
    <w:p w14:paraId="42D7214C" w14:textId="77777777" w:rsidR="00CF0FEA" w:rsidRDefault="00CF0FEA">
      <w:pPr>
        <w:jc w:val="center"/>
      </w:pPr>
    </w:p>
    <w:p w14:paraId="7ABE6E3F" w14:textId="77777777" w:rsidR="00CF0FEA" w:rsidRDefault="00CF0FEA">
      <w:pPr>
        <w:jc w:val="center"/>
      </w:pPr>
    </w:p>
    <w:p w14:paraId="4DFFE2F7" w14:textId="77777777" w:rsidR="00CF0FEA" w:rsidRDefault="00CF0FEA">
      <w:pPr>
        <w:jc w:val="center"/>
      </w:pPr>
    </w:p>
    <w:p w14:paraId="2799FBAE" w14:textId="77777777" w:rsidR="00CF0FEA" w:rsidRDefault="00CF0FEA">
      <w:pPr>
        <w:jc w:val="center"/>
      </w:pPr>
    </w:p>
    <w:p w14:paraId="48400B4B" w14:textId="77777777" w:rsidR="00CF0FEA" w:rsidRDefault="00CF0FEA">
      <w:pPr>
        <w:jc w:val="center"/>
      </w:pPr>
    </w:p>
    <w:p w14:paraId="3F8AC5AE" w14:textId="77777777" w:rsidR="00CF0FEA" w:rsidRDefault="00CF0FEA">
      <w:pPr>
        <w:jc w:val="center"/>
      </w:pPr>
    </w:p>
    <w:p w14:paraId="21D190E6" w14:textId="77777777" w:rsidR="00CF0FEA" w:rsidRDefault="00CF0FEA">
      <w:pPr>
        <w:jc w:val="center"/>
      </w:pPr>
    </w:p>
    <w:p w14:paraId="40E8D4C0" w14:textId="77777777" w:rsidR="00CF0FEA" w:rsidRDefault="00CF0FEA">
      <w:pPr>
        <w:jc w:val="center"/>
      </w:pPr>
    </w:p>
    <w:p w14:paraId="736AB7A5" w14:textId="4393D0C9" w:rsidR="00B12F35" w:rsidRDefault="00A44E1A" w:rsidP="00FE0939">
      <w:pPr>
        <w:pStyle w:val="Heading1"/>
        <w:spacing w:before="0" w:line="240" w:lineRule="auto"/>
      </w:pPr>
      <w:r>
        <w:t>Ontario Curriculum Connections:</w:t>
      </w:r>
      <w:r w:rsidR="00B12F35" w:rsidRPr="00B12F35">
        <w:t xml:space="preserve"> </w:t>
      </w:r>
      <w:r w:rsidR="00460A4A">
        <w:t xml:space="preserve">Grade </w:t>
      </w:r>
      <w:r w:rsidR="00B12F35">
        <w:t>7 Social Studies (History</w:t>
      </w:r>
      <w:r w:rsidR="00D27891">
        <w:t xml:space="preserve"> – 2026/2027 expectations)</w:t>
      </w:r>
    </w:p>
    <w:p w14:paraId="5A04A757" w14:textId="77777777" w:rsidR="002F7F3E" w:rsidRPr="002F7F3E" w:rsidRDefault="002F7F3E" w:rsidP="00FE0939">
      <w:pPr>
        <w:spacing w:after="0" w:line="240" w:lineRule="auto"/>
      </w:pPr>
    </w:p>
    <w:tbl>
      <w:tblPr>
        <w:tblStyle w:val="TableGrid"/>
        <w:tblW w:w="0" w:type="auto"/>
        <w:tblLook w:val="04A0" w:firstRow="1" w:lastRow="0" w:firstColumn="1" w:lastColumn="0" w:noHBand="0" w:noVBand="1"/>
      </w:tblPr>
      <w:tblGrid>
        <w:gridCol w:w="10790"/>
      </w:tblGrid>
      <w:tr w:rsidR="005D71FC" w14:paraId="158C52E8" w14:textId="77777777" w:rsidTr="005D71FC">
        <w:tc>
          <w:tcPr>
            <w:tcW w:w="10881" w:type="dxa"/>
          </w:tcPr>
          <w:p w14:paraId="3F83DF8A" w14:textId="77777777" w:rsidR="005D71FC" w:rsidRDefault="005D71FC" w:rsidP="00974E76">
            <w:r>
              <w:t>A1. Application: Colonial and Present-day Canada</w:t>
            </w:r>
          </w:p>
          <w:p w14:paraId="2A165D39" w14:textId="77777777" w:rsidR="005D71FC" w:rsidRDefault="005D71FC" w:rsidP="005D71FC"/>
          <w:p w14:paraId="37AC3B35" w14:textId="5ED6B548" w:rsidR="005D71FC" w:rsidRDefault="005D71FC" w:rsidP="005D71FC">
            <w:pPr>
              <w:rPr>
                <w:lang w:val="en-CA"/>
              </w:rPr>
            </w:pPr>
            <w:proofErr w:type="spellStart"/>
            <w:r>
              <w:t>analyse</w:t>
            </w:r>
            <w:proofErr w:type="spellEnd"/>
            <w:r>
              <w:t xml:space="preserve"> aspects of the experiences of various groups and communities, including First Nations, Métis, and Inuit communities, in Canada between 1713 and 1800, and compare them to the lives of people in present-day Canada (FOCUS ON: Continuity and Change; Historical Perspective)</w:t>
            </w:r>
            <w:r w:rsidRPr="00D23EB4">
              <w:rPr>
                <w:lang w:val="en-CA"/>
              </w:rPr>
              <w:t xml:space="preserve"> </w:t>
            </w:r>
          </w:p>
          <w:p w14:paraId="68B7D157" w14:textId="77777777" w:rsidR="005D71FC" w:rsidRDefault="005D71FC" w:rsidP="005D71FC">
            <w:pPr>
              <w:rPr>
                <w:lang w:val="en-CA"/>
              </w:rPr>
            </w:pPr>
          </w:p>
          <w:p w14:paraId="56FEF5C1" w14:textId="65682DF4" w:rsidR="005D71FC" w:rsidRPr="00D23EB4" w:rsidRDefault="005D71FC" w:rsidP="005D71FC">
            <w:pPr>
              <w:rPr>
                <w:lang w:val="en-CA"/>
              </w:rPr>
            </w:pPr>
            <w:r w:rsidRPr="00D23EB4">
              <w:rPr>
                <w:lang w:val="en-CA"/>
              </w:rPr>
              <w:t>A2. Inquiry: From New France to British North America</w:t>
            </w:r>
          </w:p>
          <w:p w14:paraId="0D22C620" w14:textId="77777777" w:rsidR="005D71FC" w:rsidRDefault="005D71FC" w:rsidP="005D71FC">
            <w:pPr>
              <w:rPr>
                <w:lang w:val="en-CA"/>
              </w:rPr>
            </w:pPr>
          </w:p>
          <w:p w14:paraId="246761C7" w14:textId="344961E2" w:rsidR="005D71FC" w:rsidRPr="00974E76" w:rsidRDefault="005D71FC" w:rsidP="005D71FC">
            <w:pPr>
              <w:rPr>
                <w:lang w:val="en-CA"/>
              </w:rPr>
            </w:pPr>
            <w:r w:rsidRPr="00D23EB4">
              <w:rPr>
                <w:lang w:val="en-CA"/>
              </w:rPr>
              <w:t>use the historical inquiry process to investigate perspectives of different groups and communities, including First Nations, Métis, and/or Inuit communities, on some significant events, developments, and/or issues related to the shift in power in colonial Canada from France to Britain</w:t>
            </w:r>
            <w:r w:rsidR="002179A2">
              <w:rPr>
                <w:lang w:val="en-CA"/>
              </w:rPr>
              <w:t xml:space="preserve"> </w:t>
            </w:r>
            <w:r w:rsidR="002179A2" w:rsidRPr="002179A2">
              <w:rPr>
                <w:lang w:val="en-CA"/>
              </w:rPr>
              <w:t>(FOCUS ON: Historical Significance; Historical Perspective)</w:t>
            </w:r>
          </w:p>
        </w:tc>
      </w:tr>
      <w:tr w:rsidR="002179A2" w14:paraId="16E6FD3F" w14:textId="77777777" w:rsidTr="005D71FC">
        <w:tc>
          <w:tcPr>
            <w:tcW w:w="10881" w:type="dxa"/>
          </w:tcPr>
          <w:p w14:paraId="38B9CE2E" w14:textId="77777777" w:rsidR="002530B4" w:rsidRDefault="002530B4" w:rsidP="002530B4">
            <w:r>
              <w:lastRenderedPageBreak/>
              <w:t>B1. Application: Changes and Challenges</w:t>
            </w:r>
          </w:p>
          <w:p w14:paraId="3379B9B5" w14:textId="77777777" w:rsidR="002530B4" w:rsidRDefault="002530B4" w:rsidP="002530B4"/>
          <w:p w14:paraId="370E3729" w14:textId="729B9E96" w:rsidR="002179A2" w:rsidRDefault="002530B4" w:rsidP="002530B4">
            <w:proofErr w:type="spellStart"/>
            <w:r>
              <w:t>analyse</w:t>
            </w:r>
            <w:proofErr w:type="spellEnd"/>
            <w:r>
              <w:t xml:space="preserve"> aspects of the lives of various groups and communities, including First Nations, Métis, and Inuit communities, in Canada between 1800 and 1850, and compare them to the lives of people in Canada in 1713–1800 (FOCUS ON: Continuity and Change; Historical Perspective)</w:t>
            </w:r>
          </w:p>
          <w:p w14:paraId="02B8A7CB" w14:textId="77777777" w:rsidR="002530B4" w:rsidRDefault="002530B4" w:rsidP="002530B4"/>
          <w:p w14:paraId="3943EA6B" w14:textId="77777777" w:rsidR="008B522E" w:rsidRDefault="008B522E" w:rsidP="008B522E">
            <w:r>
              <w:t>B2. Inquiry: Perspectives in British North America</w:t>
            </w:r>
          </w:p>
          <w:p w14:paraId="0D4A0ED7" w14:textId="77777777" w:rsidR="008B522E" w:rsidRDefault="008B522E" w:rsidP="008B522E"/>
          <w:p w14:paraId="36553A53" w14:textId="77777777" w:rsidR="002530B4" w:rsidRDefault="008B522E" w:rsidP="008B522E">
            <w:r>
              <w:t>use the historical inquiry process to investigate perspectives of different groups and communities, including First Nations, Métis, and/or Inuit communities, on some significant events, developments, and/or issues that affected Canada and/or people in Canada between 1800 and 1850 (FOCUS ON: Historical Significance; Historical Perspective)</w:t>
            </w:r>
          </w:p>
          <w:p w14:paraId="0B519ADA" w14:textId="77777777" w:rsidR="008B522E" w:rsidRDefault="008B522E" w:rsidP="008B522E"/>
          <w:p w14:paraId="26C43D2D" w14:textId="77777777" w:rsidR="008B522E" w:rsidRDefault="008B522E" w:rsidP="008B522E">
            <w:r>
              <w:t>B3. Understanding Historical Context: Events and Their Consequences</w:t>
            </w:r>
          </w:p>
          <w:p w14:paraId="01E7063D" w14:textId="516BA7A3" w:rsidR="008B522E" w:rsidRDefault="008B522E" w:rsidP="008B522E">
            <w:r>
              <w:t>describe various significant people, events, and developments, including treaties between Indigenous nations and imperial powers, in Canada between 1800 and 1850, and explain their impact (FOCUS ON: Historical Significance; Cause and Consequence)</w:t>
            </w:r>
          </w:p>
        </w:tc>
      </w:tr>
    </w:tbl>
    <w:p w14:paraId="188DB494" w14:textId="77777777" w:rsidR="00BE7BAA" w:rsidRDefault="00E42103">
      <w:pPr>
        <w:pStyle w:val="Heading1"/>
      </w:pPr>
      <w:r>
        <w:t>Learning Goals</w:t>
      </w:r>
    </w:p>
    <w:p w14:paraId="1F38E0F5" w14:textId="77777777" w:rsidR="00490A79" w:rsidRDefault="00490A79" w:rsidP="00490A79">
      <w:r w:rsidRPr="00490A79">
        <w:t>By examining the symbols on the regimental guidon, students will explore events such as the War of 1812 and its participants as a way of discovering the developing identities of Canada and Ontario (formerly Upper Canada).</w:t>
      </w:r>
    </w:p>
    <w:p w14:paraId="5525EF01" w14:textId="16964DF1" w:rsidR="00BE7BAA" w:rsidRDefault="00E42103" w:rsidP="009D595F">
      <w:pPr>
        <w:pStyle w:val="Heading1"/>
      </w:pPr>
      <w:r>
        <w:t>Success Criteria</w:t>
      </w:r>
    </w:p>
    <w:p w14:paraId="1ABD6123" w14:textId="77777777" w:rsidR="00E44BB9" w:rsidRDefault="00E44BB9" w:rsidP="00E44BB9">
      <w:pPr>
        <w:rPr>
          <w:b/>
          <w:bCs/>
        </w:rPr>
      </w:pPr>
      <w:r w:rsidRPr="00E44BB9">
        <w:t>Students can identify regimental symbols, explain battle and theatre honours, and describe, through an exploration of The Queen’s York Rangers, important moments in Canada’s military history and their connections to Ontario’s and Canada’s identities.</w:t>
      </w:r>
    </w:p>
    <w:p w14:paraId="0CDDA2FA" w14:textId="1A3FC035" w:rsidR="00BE7BAA" w:rsidRDefault="00E42103">
      <w:pPr>
        <w:pStyle w:val="Heading1"/>
      </w:pPr>
      <w:r>
        <w:t>Background for Teachers</w:t>
      </w:r>
    </w:p>
    <w:p w14:paraId="2BDC8796" w14:textId="012EED6D" w:rsidR="00FA497D" w:rsidRDefault="006A77C9">
      <w:r w:rsidRPr="006A77C9">
        <w:t>A regimental guidon is a sacred, swallow-tailed ceremonial flag carried by armored and cavalry units to represent their history, hono</w:t>
      </w:r>
      <w:r w:rsidR="00767B7A">
        <w:t>u</w:t>
      </w:r>
      <w:r w:rsidRPr="006A77C9">
        <w:t>r, and battle achievements.</w:t>
      </w:r>
      <w:r w:rsidR="00615022">
        <w:t xml:space="preserve"> Read more here: </w:t>
      </w:r>
      <w:hyperlink r:id="rId8" w:history="1">
        <w:r w:rsidR="00320893" w:rsidRPr="00320893">
          <w:rPr>
            <w:rStyle w:val="Hyperlink"/>
          </w:rPr>
          <w:t>Our Guidon — The Queen's York Rangers Regimental Council</w:t>
        </w:r>
      </w:hyperlink>
    </w:p>
    <w:p w14:paraId="2DC20127" w14:textId="1FFC30F9" w:rsidR="00BE7BAA" w:rsidRDefault="00BE4937">
      <w:r>
        <w:t>For Grade 7 Social Sciences</w:t>
      </w:r>
      <w:r w:rsidR="0005072B">
        <w:t>, teachers should e</w:t>
      </w:r>
      <w:r>
        <w:t>mphasize the</w:t>
      </w:r>
      <w:r w:rsidR="00E44BB9">
        <w:t xml:space="preserve"> </w:t>
      </w:r>
      <w:r w:rsidR="00B17EC9">
        <w:t xml:space="preserve">regiment’s </w:t>
      </w:r>
      <w:r w:rsidR="008A3FC3">
        <w:t>American colonial history</w:t>
      </w:r>
      <w:r w:rsidR="00767B7A">
        <w:t xml:space="preserve"> prior to and through the American Revolution</w:t>
      </w:r>
      <w:r w:rsidR="008A3FC3">
        <w:t xml:space="preserve">, as well as </w:t>
      </w:r>
      <w:proofErr w:type="spellStart"/>
      <w:r>
        <w:t>honours</w:t>
      </w:r>
      <w:proofErr w:type="spellEnd"/>
      <w:r>
        <w:t xml:space="preserve"> </w:t>
      </w:r>
      <w:proofErr w:type="spellStart"/>
      <w:r w:rsidRPr="00E44BB9">
        <w:rPr>
          <w:i/>
          <w:iCs/>
        </w:rPr>
        <w:t>Defence</w:t>
      </w:r>
      <w:proofErr w:type="spellEnd"/>
      <w:r w:rsidRPr="00E44BB9">
        <w:rPr>
          <w:i/>
          <w:iCs/>
        </w:rPr>
        <w:t xml:space="preserve"> of Canada 1812-1815</w:t>
      </w:r>
      <w:r>
        <w:t xml:space="preserve">, </w:t>
      </w:r>
      <w:r w:rsidRPr="00E44BB9">
        <w:rPr>
          <w:i/>
          <w:iCs/>
        </w:rPr>
        <w:t>Detroit</w:t>
      </w:r>
      <w:r>
        <w:t xml:space="preserve">, </w:t>
      </w:r>
      <w:r w:rsidRPr="00E44BB9">
        <w:rPr>
          <w:i/>
          <w:iCs/>
        </w:rPr>
        <w:t>Queenston</w:t>
      </w:r>
      <w:r>
        <w:t xml:space="preserve">, and </w:t>
      </w:r>
      <w:r w:rsidRPr="00E44BB9">
        <w:rPr>
          <w:i/>
          <w:iCs/>
        </w:rPr>
        <w:t>Niagara</w:t>
      </w:r>
      <w:r>
        <w:t>.</w:t>
      </w:r>
    </w:p>
    <w:p w14:paraId="06B2EEB7" w14:textId="4A3185E7" w:rsidR="00BE7BAA" w:rsidRDefault="00E42103">
      <w:pPr>
        <w:pStyle w:val="Heading1"/>
      </w:pPr>
      <w:r>
        <w:t>Mat</w:t>
      </w:r>
      <w:r w:rsidR="0089728C">
        <w:t>erials/Resources</w:t>
      </w:r>
    </w:p>
    <w:p w14:paraId="197CA924" w14:textId="2432F883" w:rsidR="00BE7BAA" w:rsidRDefault="00E42103" w:rsidP="003F086F">
      <w:pPr>
        <w:rPr>
          <w:i/>
          <w:iCs/>
        </w:rPr>
      </w:pPr>
      <w:r>
        <w:t>Guidon image, map of Upper Canada, chart paper</w:t>
      </w:r>
      <w:r w:rsidR="003F2BD3">
        <w:t xml:space="preserve">, </w:t>
      </w:r>
      <w:r>
        <w:t>digital tools</w:t>
      </w:r>
      <w:r w:rsidR="00372028">
        <w:t xml:space="preserve"> (</w:t>
      </w:r>
      <w:hyperlink r:id="rId9" w:history="1">
        <w:r w:rsidR="001E44AB" w:rsidRPr="001E44AB">
          <w:rPr>
            <w:rStyle w:val="Hyperlink"/>
          </w:rPr>
          <w:t>The Queen's York Rangers' Virtual Museum</w:t>
        </w:r>
      </w:hyperlink>
      <w:r w:rsidR="00DA4446">
        <w:t xml:space="preserve">, </w:t>
      </w:r>
      <w:hyperlink r:id="rId10" w:history="1">
        <w:r w:rsidR="00DA4446" w:rsidRPr="00DA4446">
          <w:rPr>
            <w:rStyle w:val="Hyperlink"/>
          </w:rPr>
          <w:t>Swift and Bold</w:t>
        </w:r>
        <w:r w:rsidR="0069744E">
          <w:rPr>
            <w:rStyle w:val="Hyperlink"/>
          </w:rPr>
          <w:t>,</w:t>
        </w:r>
        <w:r w:rsidR="00DA4446" w:rsidRPr="00DA4446">
          <w:rPr>
            <w:rStyle w:val="Hyperlink"/>
          </w:rPr>
          <w:t xml:space="preserve"> The Queen's York Rangers</w:t>
        </w:r>
      </w:hyperlink>
      <w:r w:rsidR="00372028">
        <w:t>)</w:t>
      </w:r>
      <w:r w:rsidR="003F2BD3">
        <w:t xml:space="preserve">, </w:t>
      </w:r>
      <w:r w:rsidR="00A2453C">
        <w:rPr>
          <w:i/>
          <w:iCs/>
        </w:rPr>
        <w:t xml:space="preserve">Swift and Bold: </w:t>
      </w:r>
      <w:r w:rsidR="0081465D">
        <w:rPr>
          <w:i/>
          <w:iCs/>
        </w:rPr>
        <w:t xml:space="preserve">The Queens York Rangers (Celebrating the </w:t>
      </w:r>
      <w:proofErr w:type="spellStart"/>
      <w:r w:rsidR="00B20E38" w:rsidRPr="00F85D42">
        <w:rPr>
          <w:i/>
          <w:iCs/>
        </w:rPr>
        <w:t>Armoury’s</w:t>
      </w:r>
      <w:proofErr w:type="spellEnd"/>
      <w:r w:rsidR="0081465D">
        <w:rPr>
          <w:i/>
          <w:iCs/>
        </w:rPr>
        <w:t xml:space="preserve"> </w:t>
      </w:r>
      <w:r w:rsidR="00B20E38">
        <w:rPr>
          <w:i/>
          <w:iCs/>
        </w:rPr>
        <w:t>Sesquicentennial</w:t>
      </w:r>
      <w:r w:rsidR="0081465D">
        <w:rPr>
          <w:i/>
          <w:iCs/>
        </w:rPr>
        <w:t>)</w:t>
      </w:r>
      <w:r w:rsidR="00B20E38">
        <w:t xml:space="preserve">, </w:t>
      </w:r>
      <w:r w:rsidR="00D3353B" w:rsidRPr="003F086F">
        <w:rPr>
          <w:i/>
          <w:iCs/>
        </w:rPr>
        <w:t xml:space="preserve">Swift and Bold: </w:t>
      </w:r>
      <w:r w:rsidR="003F086F" w:rsidRPr="003F086F">
        <w:rPr>
          <w:i/>
          <w:iCs/>
        </w:rPr>
        <w:t>the story of The Queen’s York Rangers (1st American Regiment) (RCAC)</w:t>
      </w:r>
    </w:p>
    <w:p w14:paraId="70E207C9" w14:textId="2DCB1BAF" w:rsidR="00D2629C" w:rsidRDefault="00D2629C" w:rsidP="003F086F">
      <w:r>
        <w:t xml:space="preserve">Learn more about the Sesquicentennial of the </w:t>
      </w:r>
      <w:r w:rsidR="000B492C" w:rsidRPr="000B492C">
        <w:t xml:space="preserve">John Graves Simcoe </w:t>
      </w:r>
      <w:proofErr w:type="spellStart"/>
      <w:r w:rsidR="000B492C" w:rsidRPr="000B492C">
        <w:t>Armoury</w:t>
      </w:r>
      <w:proofErr w:type="spellEnd"/>
      <w:r w:rsidR="000B492C">
        <w:t>:</w:t>
      </w:r>
    </w:p>
    <w:p w14:paraId="064AA4E1" w14:textId="77777777" w:rsidR="00DF781B" w:rsidRDefault="00DF781B" w:rsidP="00BE20CD">
      <w:pPr>
        <w:spacing w:after="0" w:line="240" w:lineRule="auto"/>
        <w:rPr>
          <w:lang w:val="en-CA"/>
        </w:rPr>
      </w:pPr>
      <w:hyperlink r:id="rId11" w:history="1">
        <w:r w:rsidRPr="00DF781B">
          <w:rPr>
            <w:rStyle w:val="Hyperlink"/>
          </w:rPr>
          <w:t>ONTARIO – Canadian Military History</w:t>
        </w:r>
      </w:hyperlink>
    </w:p>
    <w:p w14:paraId="410D3982" w14:textId="080D6E3C" w:rsidR="00BE20CD" w:rsidRPr="00BE20CD" w:rsidRDefault="00BE20CD" w:rsidP="00BE20CD">
      <w:pPr>
        <w:spacing w:after="0" w:line="240" w:lineRule="auto"/>
        <w:rPr>
          <w:lang w:val="en-CA"/>
        </w:rPr>
      </w:pPr>
      <w:hyperlink r:id="rId12" w:tgtFrame="_blank" w:history="1">
        <w:r w:rsidRPr="00BE20CD">
          <w:rPr>
            <w:rStyle w:val="Hyperlink"/>
            <w:lang w:val="en-CA"/>
          </w:rPr>
          <w:t>Ontario Heritage Trust | Aurora Armoury</w:t>
        </w:r>
      </w:hyperlink>
    </w:p>
    <w:p w14:paraId="33640113" w14:textId="77777777" w:rsidR="00BE20CD" w:rsidRPr="00BE20CD" w:rsidRDefault="00BE20CD" w:rsidP="00BE20CD">
      <w:pPr>
        <w:spacing w:after="0" w:line="240" w:lineRule="auto"/>
        <w:rPr>
          <w:lang w:val="en-CA"/>
        </w:rPr>
      </w:pPr>
      <w:hyperlink r:id="rId13" w:tgtFrame="_blank" w:history="1">
        <w:r w:rsidRPr="00BE20CD">
          <w:rPr>
            <w:rStyle w:val="Hyperlink"/>
            <w:lang w:val="en-CA"/>
          </w:rPr>
          <w:t>Aurora Armoury Historical Plaque</w:t>
        </w:r>
      </w:hyperlink>
    </w:p>
    <w:p w14:paraId="572B9986" w14:textId="77777777" w:rsidR="000B492C" w:rsidRPr="00BE20CD" w:rsidRDefault="000B492C" w:rsidP="003F086F">
      <w:pPr>
        <w:rPr>
          <w:lang w:val="en-CA"/>
        </w:rPr>
      </w:pPr>
    </w:p>
    <w:p w14:paraId="5E718891" w14:textId="77777777" w:rsidR="00BE7BAA" w:rsidRDefault="00E42103">
      <w:pPr>
        <w:pStyle w:val="Heading1"/>
      </w:pPr>
      <w:r>
        <w:lastRenderedPageBreak/>
        <w:t>M</w:t>
      </w:r>
      <w:r>
        <w:t>inds On (15 Minutes)</w:t>
      </w:r>
    </w:p>
    <w:p w14:paraId="118CDDCB" w14:textId="3EA6F762" w:rsidR="00A43B78" w:rsidRDefault="00A43B78">
      <w:r w:rsidRPr="00A43B78">
        <w:t xml:space="preserve">Teacher shares an image of the regimental guidon of </w:t>
      </w:r>
      <w:r w:rsidR="00767B7A">
        <w:t>T</w:t>
      </w:r>
      <w:r w:rsidRPr="00A43B78">
        <w:t>he Queen’s York Rangers with students. Using an assortment of suggested materials and resources, students analyze the guidon and brainstorm what its symbols and names reveal about the regiment’s history and identity, as well as the histories and identities of Ontario and Canada.</w:t>
      </w:r>
    </w:p>
    <w:p w14:paraId="1C463B83" w14:textId="4B265ADB" w:rsidR="00BC555B" w:rsidRDefault="00BC555B">
      <w:r>
        <w:t>Things to focus on: The name “Queen’s York Rangers</w:t>
      </w:r>
      <w:r w:rsidR="00C02B8C">
        <w:t xml:space="preserve"> (First American Regiment)</w:t>
      </w:r>
      <w:r w:rsidR="00BB3FA5">
        <w:t>,</w:t>
      </w:r>
      <w:r w:rsidR="00C02B8C">
        <w:t>”</w:t>
      </w:r>
      <w:r w:rsidR="00BB3FA5">
        <w:t xml:space="preserve"> the Crown, the battle and theatre honours, </w:t>
      </w:r>
      <w:r w:rsidR="0077650C">
        <w:t xml:space="preserve">the maple leaves, </w:t>
      </w:r>
      <w:r w:rsidR="00F85D42">
        <w:t xml:space="preserve">crest, and </w:t>
      </w:r>
      <w:r w:rsidR="00E62555">
        <w:t xml:space="preserve">the </w:t>
      </w:r>
      <w:hyperlink r:id="rId14" w:history="1">
        <w:r w:rsidR="00E62555" w:rsidRPr="00E62555">
          <w:rPr>
            <w:rStyle w:val="Hyperlink"/>
          </w:rPr>
          <w:t>crescent moon</w:t>
        </w:r>
      </w:hyperlink>
      <w:r w:rsidR="00E62555">
        <w:t>.</w:t>
      </w:r>
      <w:r w:rsidR="00C02B8C">
        <w:t xml:space="preserve"> </w:t>
      </w:r>
    </w:p>
    <w:p w14:paraId="0C02C54C" w14:textId="59DC0F5F" w:rsidR="00BE7BAA" w:rsidRDefault="00E42103" w:rsidP="007F1322">
      <w:pPr>
        <w:pStyle w:val="Heading1"/>
        <w:ind w:right="4230"/>
      </w:pPr>
      <w:r>
        <w:t>Acti</w:t>
      </w:r>
      <w:r w:rsidR="00FE1390">
        <w:t>vity</w:t>
      </w:r>
      <w:r>
        <w:t xml:space="preserve"> (40 Minutes)</w:t>
      </w:r>
    </w:p>
    <w:p w14:paraId="2A47562C" w14:textId="636BA99F" w:rsidR="00A37F1A" w:rsidRDefault="00A37F1A">
      <w:r>
        <w:t xml:space="preserve">This can be done as a class, or in groups. </w:t>
      </w:r>
    </w:p>
    <w:p w14:paraId="65E536FC" w14:textId="6CD61831" w:rsidR="0043358F" w:rsidRPr="0043358F" w:rsidRDefault="00E42103" w:rsidP="0043358F">
      <w:pPr>
        <w:pStyle w:val="NormalWeb"/>
        <w:spacing w:line="300" w:lineRule="atLeast"/>
        <w:rPr>
          <w:rFonts w:asciiTheme="minorHAnsi" w:hAnsiTheme="minorHAnsi" w:cs="Segoe UI"/>
          <w:sz w:val="22"/>
          <w:szCs w:val="22"/>
        </w:rPr>
      </w:pPr>
      <w:r w:rsidRPr="0043358F">
        <w:rPr>
          <w:rFonts w:asciiTheme="minorHAnsi" w:hAnsiTheme="minorHAnsi"/>
          <w:sz w:val="22"/>
          <w:szCs w:val="22"/>
        </w:rPr>
        <w:t xml:space="preserve">Part 1: </w:t>
      </w:r>
      <w:r w:rsidR="0043358F" w:rsidRPr="0043358F">
        <w:rPr>
          <w:rFonts w:asciiTheme="minorHAnsi" w:hAnsiTheme="minorHAnsi" w:cs="Segoe UI"/>
          <w:sz w:val="22"/>
          <w:szCs w:val="22"/>
        </w:rPr>
        <w:t xml:space="preserve">Investigate the symbolism of the crescent moon, white rams, crown, and battle honours. Also pose the question, </w:t>
      </w:r>
      <w:r w:rsidR="0043358F" w:rsidRPr="0043358F">
        <w:rPr>
          <w:rStyle w:val="Strong"/>
          <w:rFonts w:asciiTheme="minorHAnsi" w:hAnsiTheme="minorHAnsi" w:cs="Segoe UI"/>
          <w:b w:val="0"/>
          <w:bCs w:val="0"/>
          <w:sz w:val="22"/>
          <w:szCs w:val="22"/>
        </w:rPr>
        <w:t>“What’s in a name?”</w:t>
      </w:r>
      <w:r w:rsidR="0043358F" w:rsidRPr="0043358F">
        <w:rPr>
          <w:rFonts w:asciiTheme="minorHAnsi" w:hAnsiTheme="minorHAnsi" w:cs="Segoe UI"/>
          <w:sz w:val="22"/>
          <w:szCs w:val="22"/>
        </w:rPr>
        <w:t xml:space="preserve">, and invite students to unpack the name </w:t>
      </w:r>
      <w:r w:rsidR="0043358F" w:rsidRPr="0043358F">
        <w:rPr>
          <w:rStyle w:val="Strong"/>
          <w:rFonts w:asciiTheme="minorHAnsi" w:hAnsiTheme="minorHAnsi" w:cs="Segoe UI"/>
          <w:b w:val="0"/>
          <w:bCs w:val="0"/>
          <w:sz w:val="22"/>
          <w:szCs w:val="22"/>
        </w:rPr>
        <w:t>The Queen’s York Rangers (1st American Regiment)</w:t>
      </w:r>
      <w:r w:rsidR="0043358F" w:rsidRPr="0043358F">
        <w:rPr>
          <w:rFonts w:asciiTheme="minorHAnsi" w:hAnsiTheme="minorHAnsi" w:cs="Segoe UI"/>
          <w:b/>
          <w:bCs/>
          <w:sz w:val="22"/>
          <w:szCs w:val="22"/>
        </w:rPr>
        <w:t>,</w:t>
      </w:r>
      <w:r w:rsidR="0043358F" w:rsidRPr="0043358F">
        <w:rPr>
          <w:rFonts w:asciiTheme="minorHAnsi" w:hAnsiTheme="minorHAnsi" w:cs="Segoe UI"/>
          <w:sz w:val="22"/>
          <w:szCs w:val="22"/>
        </w:rPr>
        <w:t xml:space="preserve"> discovering its links to the early settlement of Upper Canada by American refugees</w:t>
      </w:r>
      <w:r w:rsidR="00F85D42">
        <w:rPr>
          <w:rFonts w:asciiTheme="minorHAnsi" w:hAnsiTheme="minorHAnsi" w:cs="Segoe UI"/>
          <w:sz w:val="22"/>
          <w:szCs w:val="22"/>
        </w:rPr>
        <w:t xml:space="preserve">, including </w:t>
      </w:r>
      <w:r w:rsidR="007B5A41">
        <w:rPr>
          <w:rFonts w:asciiTheme="minorHAnsi" w:hAnsiTheme="minorHAnsi" w:cs="Segoe UI"/>
          <w:sz w:val="22"/>
          <w:szCs w:val="22"/>
        </w:rPr>
        <w:t xml:space="preserve">the </w:t>
      </w:r>
      <w:r w:rsidR="00F85D42">
        <w:rPr>
          <w:rFonts w:asciiTheme="minorHAnsi" w:hAnsiTheme="minorHAnsi" w:cs="Segoe UI"/>
          <w:sz w:val="22"/>
          <w:szCs w:val="22"/>
        </w:rPr>
        <w:t xml:space="preserve">work of the </w:t>
      </w:r>
      <w:r w:rsidR="007B5A41">
        <w:rPr>
          <w:rFonts w:asciiTheme="minorHAnsi" w:hAnsiTheme="minorHAnsi" w:cs="Segoe UI"/>
          <w:sz w:val="22"/>
          <w:szCs w:val="22"/>
        </w:rPr>
        <w:t>“Queen’s Rangers</w:t>
      </w:r>
      <w:r w:rsidR="00F85D42">
        <w:rPr>
          <w:rFonts w:asciiTheme="minorHAnsi" w:hAnsiTheme="minorHAnsi" w:cs="Segoe UI"/>
          <w:sz w:val="22"/>
          <w:szCs w:val="22"/>
        </w:rPr>
        <w:t>,</w:t>
      </w:r>
      <w:r w:rsidR="007B5A41">
        <w:rPr>
          <w:rFonts w:asciiTheme="minorHAnsi" w:hAnsiTheme="minorHAnsi" w:cs="Segoe UI"/>
          <w:sz w:val="22"/>
          <w:szCs w:val="22"/>
        </w:rPr>
        <w:t>” as well as the settling of York County by the “York Rangers”</w:t>
      </w:r>
      <w:r w:rsidR="0043358F" w:rsidRPr="0043358F">
        <w:rPr>
          <w:rFonts w:asciiTheme="minorHAnsi" w:hAnsiTheme="minorHAnsi" w:cs="Segoe UI"/>
          <w:sz w:val="22"/>
          <w:szCs w:val="22"/>
        </w:rPr>
        <w:t>. The story of Lieutenant Governor John Graves Simcoe would be particularly valuable to highlight.</w:t>
      </w:r>
    </w:p>
    <w:p w14:paraId="257B5B02" w14:textId="6C6B04E9" w:rsidR="0043358F" w:rsidRPr="0043358F" w:rsidRDefault="0043358F" w:rsidP="0043358F">
      <w:pPr>
        <w:pStyle w:val="NormalWeb"/>
        <w:spacing w:line="300" w:lineRule="atLeast"/>
        <w:rPr>
          <w:rFonts w:asciiTheme="minorHAnsi" w:hAnsiTheme="minorHAnsi" w:cs="Segoe UI"/>
          <w:sz w:val="22"/>
          <w:szCs w:val="22"/>
        </w:rPr>
      </w:pPr>
      <w:r w:rsidRPr="0043358F">
        <w:rPr>
          <w:rFonts w:asciiTheme="minorHAnsi" w:hAnsiTheme="minorHAnsi" w:cs="Segoe UI"/>
          <w:sz w:val="22"/>
          <w:szCs w:val="22"/>
        </w:rPr>
        <w:t xml:space="preserve">This investigation could be conducted using students’ devices, as well as relevant sections of </w:t>
      </w:r>
      <w:r w:rsidRPr="0043358F">
        <w:rPr>
          <w:rStyle w:val="Emphasis"/>
          <w:rFonts w:asciiTheme="minorHAnsi" w:hAnsiTheme="minorHAnsi" w:cs="Segoe UI"/>
          <w:sz w:val="22"/>
          <w:szCs w:val="22"/>
        </w:rPr>
        <w:t xml:space="preserve">Swift and Bold: The Queen’s York Rangers (Celebrating the </w:t>
      </w:r>
      <w:r w:rsidRPr="00F85D42">
        <w:rPr>
          <w:rStyle w:val="Emphasis"/>
          <w:rFonts w:asciiTheme="minorHAnsi" w:hAnsiTheme="minorHAnsi" w:cs="Segoe UI"/>
          <w:sz w:val="22"/>
          <w:szCs w:val="22"/>
        </w:rPr>
        <w:t>Armoury’s</w:t>
      </w:r>
      <w:r w:rsidRPr="0043358F">
        <w:rPr>
          <w:rStyle w:val="Emphasis"/>
          <w:rFonts w:asciiTheme="minorHAnsi" w:hAnsiTheme="minorHAnsi" w:cs="Segoe UI"/>
          <w:sz w:val="22"/>
          <w:szCs w:val="22"/>
        </w:rPr>
        <w:t xml:space="preserve"> Sesquicentennial)</w:t>
      </w:r>
      <w:r w:rsidRPr="0043358F">
        <w:rPr>
          <w:rFonts w:asciiTheme="minorHAnsi" w:hAnsiTheme="minorHAnsi" w:cs="Segoe UI"/>
          <w:sz w:val="22"/>
          <w:szCs w:val="22"/>
        </w:rPr>
        <w:t xml:space="preserve"> and </w:t>
      </w:r>
      <w:r w:rsidRPr="0043358F">
        <w:rPr>
          <w:rStyle w:val="Emphasis"/>
          <w:rFonts w:asciiTheme="minorHAnsi" w:hAnsiTheme="minorHAnsi" w:cs="Segoe UI"/>
          <w:sz w:val="22"/>
          <w:szCs w:val="22"/>
        </w:rPr>
        <w:t>Swift and Bold: The Story of The Queen’s York Rangers (1st American Regiment) (RCAC)</w:t>
      </w:r>
      <w:r w:rsidRPr="0043358F">
        <w:rPr>
          <w:rFonts w:asciiTheme="minorHAnsi" w:hAnsiTheme="minorHAnsi" w:cs="Segoe UI"/>
          <w:sz w:val="22"/>
          <w:szCs w:val="22"/>
        </w:rPr>
        <w:t>.</w:t>
      </w:r>
    </w:p>
    <w:p w14:paraId="6157AD2E" w14:textId="085F2011" w:rsidR="00BE7BAA" w:rsidRDefault="00E42103">
      <w:r>
        <w:t xml:space="preserve">Part 2: </w:t>
      </w:r>
      <w:r w:rsidR="00606A4E" w:rsidRPr="00606A4E">
        <w:t xml:space="preserve">Focus on the battle honours </w:t>
      </w:r>
      <w:r w:rsidR="00606A4E" w:rsidRPr="00606A4E">
        <w:rPr>
          <w:i/>
          <w:iCs/>
        </w:rPr>
        <w:t>Detroit</w:t>
      </w:r>
      <w:r w:rsidR="00606A4E" w:rsidRPr="00606A4E">
        <w:t xml:space="preserve">, </w:t>
      </w:r>
      <w:r w:rsidR="00606A4E" w:rsidRPr="00606A4E">
        <w:rPr>
          <w:i/>
          <w:iCs/>
        </w:rPr>
        <w:t>Queenston</w:t>
      </w:r>
      <w:r w:rsidR="00606A4E" w:rsidRPr="00606A4E">
        <w:t xml:space="preserve">, and </w:t>
      </w:r>
      <w:r w:rsidR="00606A4E" w:rsidRPr="00606A4E">
        <w:rPr>
          <w:i/>
          <w:iCs/>
        </w:rPr>
        <w:t>Niagara</w:t>
      </w:r>
      <w:r w:rsidR="00606A4E" w:rsidRPr="00606A4E">
        <w:t xml:space="preserve">, as well as the theatre honour </w:t>
      </w:r>
      <w:r w:rsidR="00606A4E" w:rsidRPr="00A32584">
        <w:rPr>
          <w:i/>
          <w:iCs/>
        </w:rPr>
        <w:t>Defence of Canada, 1812-1815</w:t>
      </w:r>
      <w:r w:rsidR="00606A4E" w:rsidRPr="00606A4E">
        <w:t>, and explore what these battles and campaigns meant for the formation of Ontario and Canada as we know them today.</w:t>
      </w:r>
    </w:p>
    <w:p w14:paraId="7B9B9CDE" w14:textId="77777777" w:rsidR="00BE7BAA" w:rsidRDefault="00E42103">
      <w:pPr>
        <w:pStyle w:val="Heading1"/>
      </w:pPr>
      <w:r>
        <w:t>Consolidation (20 Minutes)</w:t>
      </w:r>
    </w:p>
    <w:p w14:paraId="6407341A" w14:textId="592B550C" w:rsidR="00E15112" w:rsidRDefault="00E15112" w:rsidP="00E15112">
      <w:r w:rsidRPr="00E15112">
        <w:t xml:space="preserve">Students create a mind map, poster, or other form of media that explains the regiment’s symbols and links </w:t>
      </w:r>
      <w:r w:rsidR="00767B7A">
        <w:t>T</w:t>
      </w:r>
      <w:r w:rsidRPr="00E15112">
        <w:t>he Queen’s York Rangers to important moments in Canada’s military history. The connections between the regiment’s identity and Ontario’s and Canada’s identities should be highlighted.</w:t>
      </w:r>
    </w:p>
    <w:p w14:paraId="6ACA8759" w14:textId="15284F5A" w:rsidR="00BE7BAA" w:rsidRDefault="00C94DF9" w:rsidP="00E15112">
      <w:pPr>
        <w:pStyle w:val="Heading1"/>
      </w:pPr>
      <w:r>
        <w:t>Additional Step</w:t>
      </w:r>
    </w:p>
    <w:p w14:paraId="76B7577E" w14:textId="3DD08391" w:rsidR="00BE7BAA" w:rsidRDefault="00C94DF9">
      <w:r>
        <w:t xml:space="preserve">Students could send their creations to </w:t>
      </w:r>
      <w:r w:rsidR="00767B7A">
        <w:t>t</w:t>
      </w:r>
      <w:r w:rsidR="005679CC" w:rsidRPr="005679CC">
        <w:t xml:space="preserve">he Regimental Council of </w:t>
      </w:r>
      <w:r w:rsidR="00767B7A">
        <w:t>T</w:t>
      </w:r>
      <w:r w:rsidR="005679CC" w:rsidRPr="005679CC">
        <w:t>he Queen's York Rangers</w:t>
      </w:r>
      <w:r w:rsidR="008F288A">
        <w:t xml:space="preserve"> at:</w:t>
      </w:r>
    </w:p>
    <w:p w14:paraId="7300A4D8" w14:textId="38E1B659" w:rsidR="00025A65" w:rsidRDefault="00767B7A" w:rsidP="00025A65">
      <w:pPr>
        <w:spacing w:after="0" w:line="240" w:lineRule="auto"/>
      </w:pPr>
      <w:r>
        <w:t xml:space="preserve">The </w:t>
      </w:r>
      <w:r w:rsidR="00025A65">
        <w:t>Queen's York Rangers Regimental Council</w:t>
      </w:r>
    </w:p>
    <w:p w14:paraId="7AC0D871" w14:textId="77777777" w:rsidR="00025A65" w:rsidRDefault="00025A65" w:rsidP="00025A65">
      <w:pPr>
        <w:spacing w:after="0" w:line="240" w:lineRule="auto"/>
      </w:pPr>
      <w:r>
        <w:t>P.O Box 38641, RPO Cummer</w:t>
      </w:r>
    </w:p>
    <w:p w14:paraId="3BABD762" w14:textId="533C6F7F" w:rsidR="008F288A" w:rsidRDefault="00025A65" w:rsidP="00025A65">
      <w:pPr>
        <w:spacing w:after="0" w:line="240" w:lineRule="auto"/>
      </w:pPr>
      <w:r>
        <w:t>North York, Ontario M2K 2Y5</w:t>
      </w:r>
    </w:p>
    <w:sectPr w:rsidR="008F288A" w:rsidSect="00001A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1240021">
    <w:abstractNumId w:val="8"/>
  </w:num>
  <w:num w:numId="2" w16cid:durableId="985625243">
    <w:abstractNumId w:val="6"/>
  </w:num>
  <w:num w:numId="3" w16cid:durableId="1686591764">
    <w:abstractNumId w:val="5"/>
  </w:num>
  <w:num w:numId="4" w16cid:durableId="1021007076">
    <w:abstractNumId w:val="4"/>
  </w:num>
  <w:num w:numId="5" w16cid:durableId="643123685">
    <w:abstractNumId w:val="7"/>
  </w:num>
  <w:num w:numId="6" w16cid:durableId="1059356625">
    <w:abstractNumId w:val="3"/>
  </w:num>
  <w:num w:numId="7" w16cid:durableId="1506045668">
    <w:abstractNumId w:val="2"/>
  </w:num>
  <w:num w:numId="8" w16cid:durableId="1006203304">
    <w:abstractNumId w:val="1"/>
  </w:num>
  <w:num w:numId="9" w16cid:durableId="210922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A95"/>
    <w:rsid w:val="000128E1"/>
    <w:rsid w:val="00025A65"/>
    <w:rsid w:val="00034616"/>
    <w:rsid w:val="00034F9E"/>
    <w:rsid w:val="0005072B"/>
    <w:rsid w:val="0006063C"/>
    <w:rsid w:val="000B492C"/>
    <w:rsid w:val="0015074B"/>
    <w:rsid w:val="001622A5"/>
    <w:rsid w:val="001812A4"/>
    <w:rsid w:val="001E44AB"/>
    <w:rsid w:val="002179A2"/>
    <w:rsid w:val="002372F5"/>
    <w:rsid w:val="00243BB0"/>
    <w:rsid w:val="002530B4"/>
    <w:rsid w:val="00266C01"/>
    <w:rsid w:val="0029639D"/>
    <w:rsid w:val="002E3317"/>
    <w:rsid w:val="002F7F3E"/>
    <w:rsid w:val="0031705E"/>
    <w:rsid w:val="00320893"/>
    <w:rsid w:val="00326F90"/>
    <w:rsid w:val="00345B6C"/>
    <w:rsid w:val="00355810"/>
    <w:rsid w:val="00361B4D"/>
    <w:rsid w:val="0036270C"/>
    <w:rsid w:val="00372028"/>
    <w:rsid w:val="003D6E26"/>
    <w:rsid w:val="003F086F"/>
    <w:rsid w:val="003F2BD3"/>
    <w:rsid w:val="00401FD9"/>
    <w:rsid w:val="0040759F"/>
    <w:rsid w:val="0043358F"/>
    <w:rsid w:val="004378A7"/>
    <w:rsid w:val="00460A4A"/>
    <w:rsid w:val="00490A79"/>
    <w:rsid w:val="004D1DE5"/>
    <w:rsid w:val="00510C21"/>
    <w:rsid w:val="0054257D"/>
    <w:rsid w:val="005679CC"/>
    <w:rsid w:val="005845B1"/>
    <w:rsid w:val="005859F8"/>
    <w:rsid w:val="005A09F0"/>
    <w:rsid w:val="005A35FF"/>
    <w:rsid w:val="005D71FC"/>
    <w:rsid w:val="00606A4E"/>
    <w:rsid w:val="00615022"/>
    <w:rsid w:val="00632840"/>
    <w:rsid w:val="0063706E"/>
    <w:rsid w:val="00675C77"/>
    <w:rsid w:val="0069744E"/>
    <w:rsid w:val="006A77C9"/>
    <w:rsid w:val="006B1678"/>
    <w:rsid w:val="006B4B1E"/>
    <w:rsid w:val="00711876"/>
    <w:rsid w:val="00712310"/>
    <w:rsid w:val="00767B7A"/>
    <w:rsid w:val="007733F5"/>
    <w:rsid w:val="0077650C"/>
    <w:rsid w:val="007B5A41"/>
    <w:rsid w:val="007F1322"/>
    <w:rsid w:val="0081465D"/>
    <w:rsid w:val="0085508C"/>
    <w:rsid w:val="008959AF"/>
    <w:rsid w:val="0089728C"/>
    <w:rsid w:val="008A1E9A"/>
    <w:rsid w:val="008A3FC3"/>
    <w:rsid w:val="008B522E"/>
    <w:rsid w:val="008C525B"/>
    <w:rsid w:val="008F288A"/>
    <w:rsid w:val="008F7F9A"/>
    <w:rsid w:val="00935740"/>
    <w:rsid w:val="00937431"/>
    <w:rsid w:val="009476B2"/>
    <w:rsid w:val="00974E76"/>
    <w:rsid w:val="00983478"/>
    <w:rsid w:val="00993C15"/>
    <w:rsid w:val="009B0CFF"/>
    <w:rsid w:val="009D595F"/>
    <w:rsid w:val="00A2453C"/>
    <w:rsid w:val="00A32584"/>
    <w:rsid w:val="00A37313"/>
    <w:rsid w:val="00A37F1A"/>
    <w:rsid w:val="00A43B78"/>
    <w:rsid w:val="00A44E1A"/>
    <w:rsid w:val="00A5103A"/>
    <w:rsid w:val="00AA1D8D"/>
    <w:rsid w:val="00B12F35"/>
    <w:rsid w:val="00B17EC9"/>
    <w:rsid w:val="00B20E38"/>
    <w:rsid w:val="00B32926"/>
    <w:rsid w:val="00B47730"/>
    <w:rsid w:val="00B62018"/>
    <w:rsid w:val="00B64AC8"/>
    <w:rsid w:val="00BB3FA5"/>
    <w:rsid w:val="00BC555B"/>
    <w:rsid w:val="00BE20CD"/>
    <w:rsid w:val="00BE4937"/>
    <w:rsid w:val="00BE7BAA"/>
    <w:rsid w:val="00C02B8C"/>
    <w:rsid w:val="00C94DF9"/>
    <w:rsid w:val="00CB0664"/>
    <w:rsid w:val="00CF0FEA"/>
    <w:rsid w:val="00D23EB4"/>
    <w:rsid w:val="00D2629C"/>
    <w:rsid w:val="00D27891"/>
    <w:rsid w:val="00D3353B"/>
    <w:rsid w:val="00DA4446"/>
    <w:rsid w:val="00DE1D9E"/>
    <w:rsid w:val="00DF10E4"/>
    <w:rsid w:val="00DF781B"/>
    <w:rsid w:val="00E15112"/>
    <w:rsid w:val="00E41ACD"/>
    <w:rsid w:val="00E44BB9"/>
    <w:rsid w:val="00E62555"/>
    <w:rsid w:val="00EA606B"/>
    <w:rsid w:val="00ED328E"/>
    <w:rsid w:val="00EE38E8"/>
    <w:rsid w:val="00EF0F98"/>
    <w:rsid w:val="00F05D49"/>
    <w:rsid w:val="00F22B7B"/>
    <w:rsid w:val="00F315ED"/>
    <w:rsid w:val="00F558DF"/>
    <w:rsid w:val="00F623D4"/>
    <w:rsid w:val="00F71B7B"/>
    <w:rsid w:val="00F85D42"/>
    <w:rsid w:val="00F85FAF"/>
    <w:rsid w:val="00FA497D"/>
    <w:rsid w:val="00FB37BF"/>
    <w:rsid w:val="00FC693F"/>
    <w:rsid w:val="00FE0939"/>
    <w:rsid w:val="00FE1390"/>
    <w:rsid w:val="00FF5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9BEC6A1-9C1A-485C-B93D-B8809F21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20893"/>
    <w:rPr>
      <w:color w:val="0000FF" w:themeColor="hyperlink"/>
      <w:u w:val="single"/>
    </w:rPr>
  </w:style>
  <w:style w:type="character" w:styleId="UnresolvedMention">
    <w:name w:val="Unresolved Mention"/>
    <w:basedOn w:val="DefaultParagraphFont"/>
    <w:uiPriority w:val="99"/>
    <w:semiHidden/>
    <w:unhideWhenUsed/>
    <w:rsid w:val="00320893"/>
    <w:rPr>
      <w:color w:val="605E5C"/>
      <w:shd w:val="clear" w:color="auto" w:fill="E1DFDD"/>
    </w:rPr>
  </w:style>
  <w:style w:type="paragraph" w:styleId="NormalWeb">
    <w:name w:val="Normal (Web)"/>
    <w:basedOn w:val="Normal"/>
    <w:uiPriority w:val="99"/>
    <w:semiHidden/>
    <w:unhideWhenUsed/>
    <w:rsid w:val="0043358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FollowedHyperlink">
    <w:name w:val="FollowedHyperlink"/>
    <w:basedOn w:val="DefaultParagraphFont"/>
    <w:uiPriority w:val="99"/>
    <w:semiHidden/>
    <w:unhideWhenUsed/>
    <w:rsid w:val="007F1322"/>
    <w:rPr>
      <w:color w:val="800080" w:themeColor="followedHyperlink"/>
      <w:u w:val="single"/>
    </w:rPr>
  </w:style>
  <w:style w:type="paragraph" w:styleId="Revision">
    <w:name w:val="Revision"/>
    <w:hidden/>
    <w:uiPriority w:val="99"/>
    <w:semiHidden/>
    <w:rsid w:val="00767B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yrang.ca/guidon" TargetMode="External"/><Relationship Id="rId13" Type="http://schemas.openxmlformats.org/officeDocument/2006/relationships/hyperlink" Target="https://www.ontarioplaques.com/Plaques/Plaque_York27.html"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heritagetrust.on.ca/provincial-plaque-program/provincial-plaque-background-papers/aurora-armou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militarybruce.com/abandoned-canadian-military-bases/abandoned-armouries/ontari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QCrW_5QC3tg" TargetMode="External"/><Relationship Id="rId4" Type="http://schemas.openxmlformats.org/officeDocument/2006/relationships/settings" Target="settings.xml"/><Relationship Id="rId9" Type="http://schemas.openxmlformats.org/officeDocument/2006/relationships/hyperlink" Target="https://qyrangmuseum.com/" TargetMode="External"/><Relationship Id="rId14" Type="http://schemas.openxmlformats.org/officeDocument/2006/relationships/hyperlink" Target="https://www.qyrang.ca/blog/2016/4/17/warriors-of-the-crescent-mo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7afeaf6a-b1be-4c83-a974-c43a8b215634}" enabled="0" method="" siteId="{7afeaf6a-b1be-4c83-a974-c43a8b215634}"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Tidridge [Staff]</dc:creator>
  <cp:keywords/>
  <dc:description>generated by python-docx</dc:description>
  <cp:lastModifiedBy>Nathan Tidridge [Staff]</cp:lastModifiedBy>
  <cp:revision>10</cp:revision>
  <dcterms:created xsi:type="dcterms:W3CDTF">2026-09-28T15:40:00Z</dcterms:created>
  <dcterms:modified xsi:type="dcterms:W3CDTF">2026-09-28T15:44:00Z</dcterms:modified>
  <cp:category/>
</cp:coreProperties>
</file>